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17544" w14:textId="77777777" w:rsidR="004930E0" w:rsidRDefault="004930E0" w:rsidP="004930E0">
      <w:pPr>
        <w:pStyle w:val="TitlePHPDOCX"/>
      </w:pPr>
      <w:r>
        <w:t>Worked-Through Example</w:t>
      </w:r>
      <w:r w:rsidRPr="004930E0">
        <w:t xml:space="preserve"> </w:t>
      </w:r>
    </w:p>
    <w:p w14:paraId="5C2DE290" w14:textId="3270094C" w:rsidR="004930E0" w:rsidRPr="001D6A37" w:rsidRDefault="004930E0" w:rsidP="004930E0">
      <w:pPr>
        <w:pStyle w:val="TitlePHPDOCX"/>
        <w:rPr>
          <w:sz w:val="36"/>
          <w:szCs w:val="36"/>
        </w:rPr>
      </w:pPr>
      <w:r w:rsidRPr="001D6A37">
        <w:rPr>
          <w:sz w:val="36"/>
          <w:szCs w:val="36"/>
        </w:rPr>
        <w:t xml:space="preserve">Independent Samples </w:t>
      </w:r>
      <w:r w:rsidRPr="001D6A37">
        <w:rPr>
          <w:i/>
          <w:iCs/>
          <w:sz w:val="36"/>
          <w:szCs w:val="36"/>
        </w:rPr>
        <w:t>t</w:t>
      </w:r>
      <w:r w:rsidRPr="001D6A37">
        <w:rPr>
          <w:sz w:val="36"/>
          <w:szCs w:val="36"/>
        </w:rPr>
        <w:t>-Test: Differences on Exercise (in hours) by Gender</w:t>
      </w:r>
    </w:p>
    <w:p w14:paraId="04B9F2B2" w14:textId="77777777" w:rsidR="00FB7E12" w:rsidRDefault="00460B70">
      <w:pPr>
        <w:spacing w:before="240" w:after="120" w:line="400" w:lineRule="auto"/>
      </w:pPr>
      <w:bookmarkStart w:id="0" w:name="e7aeuwt5"/>
      <w:r>
        <w:rPr>
          <w:b/>
          <w:bCs/>
          <w:i/>
          <w:iCs/>
          <w:color w:val="000000"/>
          <w:sz w:val="24"/>
          <w:szCs w:val="24"/>
        </w:rPr>
        <w:t>Introduction</w:t>
      </w:r>
    </w:p>
    <w:p w14:paraId="6CA04A70" w14:textId="46671CDA" w:rsidR="00FB7E12" w:rsidRDefault="00460B70">
      <w:pPr>
        <w:spacing w:before="240" w:after="120" w:line="400" w:lineRule="auto"/>
        <w:ind w:firstLine="720"/>
      </w:pPr>
      <w:r>
        <w:rPr>
          <w:color w:val="000000"/>
          <w:sz w:val="24"/>
          <w:szCs w:val="24"/>
        </w:rPr>
        <w:t xml:space="preserve">A two-tailed independent samples </w:t>
      </w:r>
      <w:r>
        <w:rPr>
          <w:i/>
          <w:iCs/>
          <w:color w:val="000000"/>
          <w:sz w:val="24"/>
          <w:szCs w:val="24"/>
        </w:rPr>
        <w:t>t</w:t>
      </w:r>
      <w:r>
        <w:rPr>
          <w:color w:val="000000"/>
          <w:sz w:val="24"/>
          <w:szCs w:val="24"/>
        </w:rPr>
        <w:t>-test was conducted to examine whether the mean of Exercise</w:t>
      </w:r>
      <w:r w:rsidR="004930E0"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>hours</w:t>
      </w:r>
      <w:r w:rsidR="004930E0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was significantly different between the Male and Female categories of Gender.</w:t>
      </w:r>
    </w:p>
    <w:p w14:paraId="5C54983B" w14:textId="77777777" w:rsidR="00FB7E12" w:rsidRDefault="00460B70">
      <w:pPr>
        <w:spacing w:before="240" w:after="120" w:line="400" w:lineRule="auto"/>
      </w:pPr>
      <w:r>
        <w:rPr>
          <w:b/>
          <w:bCs/>
          <w:i/>
          <w:iCs/>
          <w:color w:val="000000"/>
          <w:sz w:val="24"/>
          <w:szCs w:val="24"/>
        </w:rPr>
        <w:t>Assumptions</w:t>
      </w:r>
    </w:p>
    <w:p w14:paraId="3460FEDA" w14:textId="73BBDB76" w:rsidR="00FB7E12" w:rsidRDefault="00460B70">
      <w:pPr>
        <w:spacing w:before="240" w:after="120" w:line="400" w:lineRule="auto"/>
        <w:ind w:firstLine="720"/>
      </w:pPr>
      <w:r>
        <w:rPr>
          <w:b/>
          <w:bCs/>
          <w:color w:val="000000"/>
          <w:sz w:val="24"/>
          <w:szCs w:val="24"/>
        </w:rPr>
        <w:t>Normality.</w:t>
      </w:r>
      <w:r>
        <w:rPr>
          <w:color w:val="000000"/>
          <w:sz w:val="24"/>
          <w:szCs w:val="24"/>
        </w:rPr>
        <w:t xml:space="preserve"> Shapiro-Wilk tests were conducted to determine whether Exercise</w:t>
      </w:r>
      <w:r w:rsidR="004930E0">
        <w:rPr>
          <w:color w:val="000000"/>
          <w:sz w:val="24"/>
          <w:szCs w:val="24"/>
        </w:rPr>
        <w:t xml:space="preserve">(hours) </w:t>
      </w:r>
      <w:r>
        <w:rPr>
          <w:color w:val="000000"/>
          <w:sz w:val="24"/>
          <w:szCs w:val="24"/>
        </w:rPr>
        <w:t>could have been pro</w:t>
      </w:r>
      <w:r>
        <w:rPr>
          <w:color w:val="000000"/>
          <w:sz w:val="24"/>
          <w:szCs w:val="24"/>
        </w:rPr>
        <w:t>duced by a normal distribution for each category of Gender (Razali &amp; Wah, 2011). The result of the Shapiro-Wilk test for Exercise</w:t>
      </w:r>
      <w:r w:rsidR="004930E0">
        <w:rPr>
          <w:color w:val="000000"/>
          <w:sz w:val="24"/>
          <w:szCs w:val="24"/>
        </w:rPr>
        <w:t xml:space="preserve">(hours) </w:t>
      </w:r>
      <w:r>
        <w:rPr>
          <w:color w:val="000000"/>
          <w:sz w:val="24"/>
          <w:szCs w:val="24"/>
        </w:rPr>
        <w:t xml:space="preserve">in the Male category was not significant based on an alpha value of 0.05, </w:t>
      </w:r>
      <w:r>
        <w:rPr>
          <w:i/>
          <w:iCs/>
          <w:color w:val="000000"/>
          <w:sz w:val="24"/>
          <w:szCs w:val="24"/>
        </w:rPr>
        <w:t>W</w:t>
      </w:r>
      <w:r>
        <w:rPr>
          <w:color w:val="000000"/>
          <w:sz w:val="24"/>
          <w:szCs w:val="24"/>
        </w:rPr>
        <w:t xml:space="preserve"> = 0.95, </w:t>
      </w:r>
      <w:r>
        <w:rPr>
          <w:i/>
          <w:iCs/>
          <w:color w:val="000000"/>
          <w:sz w:val="24"/>
          <w:szCs w:val="24"/>
        </w:rPr>
        <w:t>p</w:t>
      </w:r>
      <w:r>
        <w:rPr>
          <w:color w:val="000000"/>
          <w:sz w:val="24"/>
          <w:szCs w:val="24"/>
        </w:rPr>
        <w:t xml:space="preserve"> = .134. This result suggests that </w:t>
      </w:r>
      <w:r>
        <w:rPr>
          <w:color w:val="000000"/>
          <w:sz w:val="24"/>
          <w:szCs w:val="24"/>
        </w:rPr>
        <w:t>a normal distribution cannot be ruled out as the underlying distribution for Exercise</w:t>
      </w:r>
      <w:r w:rsidR="004930E0">
        <w:rPr>
          <w:color w:val="000000"/>
          <w:sz w:val="24"/>
          <w:szCs w:val="24"/>
        </w:rPr>
        <w:t>(hours)</w:t>
      </w:r>
      <w:r>
        <w:rPr>
          <w:color w:val="000000"/>
          <w:sz w:val="24"/>
          <w:szCs w:val="24"/>
        </w:rPr>
        <w:t>in the Male category. The result of the Shapiro-Wilk test Exercise</w:t>
      </w:r>
      <w:r w:rsidR="004930E0">
        <w:rPr>
          <w:color w:val="000000"/>
          <w:sz w:val="24"/>
          <w:szCs w:val="24"/>
        </w:rPr>
        <w:t xml:space="preserve">(hours) </w:t>
      </w:r>
      <w:r>
        <w:rPr>
          <w:color w:val="000000"/>
          <w:sz w:val="24"/>
          <w:szCs w:val="24"/>
        </w:rPr>
        <w:t xml:space="preserve">in the Female category was not significant based on an alpha value of 0.05, </w:t>
      </w:r>
      <w:r>
        <w:rPr>
          <w:i/>
          <w:iCs/>
          <w:color w:val="000000"/>
          <w:sz w:val="24"/>
          <w:szCs w:val="24"/>
        </w:rPr>
        <w:t>W</w:t>
      </w:r>
      <w:r>
        <w:rPr>
          <w:color w:val="000000"/>
          <w:sz w:val="24"/>
          <w:szCs w:val="24"/>
        </w:rPr>
        <w:t xml:space="preserve"> = 0.93, </w:t>
      </w:r>
      <w:r>
        <w:rPr>
          <w:i/>
          <w:iCs/>
          <w:color w:val="000000"/>
          <w:sz w:val="24"/>
          <w:szCs w:val="24"/>
        </w:rPr>
        <w:t>p</w:t>
      </w:r>
      <w:r>
        <w:rPr>
          <w:color w:val="000000"/>
          <w:sz w:val="24"/>
          <w:szCs w:val="24"/>
        </w:rPr>
        <w:t xml:space="preserve"> = .</w:t>
      </w:r>
      <w:r>
        <w:rPr>
          <w:color w:val="000000"/>
          <w:sz w:val="24"/>
          <w:szCs w:val="24"/>
        </w:rPr>
        <w:t>126. This result suggests that a normal distribution cannot be ruled out as the underlying distribution for Exercise</w:t>
      </w:r>
      <w:r w:rsidR="004930E0">
        <w:rPr>
          <w:color w:val="000000"/>
          <w:sz w:val="24"/>
          <w:szCs w:val="24"/>
        </w:rPr>
        <w:t xml:space="preserve">(hours) </w:t>
      </w:r>
      <w:r>
        <w:rPr>
          <w:color w:val="000000"/>
          <w:sz w:val="24"/>
          <w:szCs w:val="24"/>
        </w:rPr>
        <w:t xml:space="preserve">in the Female category. The Shapiro-Wilk test was not significant for either the Male or Female categories of Gender, indicating the </w:t>
      </w:r>
      <w:r>
        <w:rPr>
          <w:color w:val="000000"/>
          <w:sz w:val="24"/>
          <w:szCs w:val="24"/>
        </w:rPr>
        <w:t>normality assumption is met.</w:t>
      </w:r>
    </w:p>
    <w:p w14:paraId="081DCEDC" w14:textId="125E1596" w:rsidR="00FB7E12" w:rsidRDefault="00460B70">
      <w:pPr>
        <w:spacing w:before="240" w:after="120" w:line="400" w:lineRule="auto"/>
        <w:ind w:firstLine="720"/>
      </w:pPr>
      <w:r>
        <w:rPr>
          <w:b/>
          <w:bCs/>
          <w:color w:val="000000"/>
          <w:sz w:val="24"/>
          <w:szCs w:val="24"/>
        </w:rPr>
        <w:t>Homogeneity of Variance.</w:t>
      </w:r>
      <w:r>
        <w:rPr>
          <w:color w:val="000000"/>
          <w:sz w:val="24"/>
          <w:szCs w:val="24"/>
        </w:rPr>
        <w:t xml:space="preserve"> Levene's test was conducted to assess whether the variance of Exercise</w:t>
      </w:r>
      <w:r w:rsidR="004930E0">
        <w:rPr>
          <w:color w:val="000000"/>
          <w:sz w:val="24"/>
          <w:szCs w:val="24"/>
        </w:rPr>
        <w:t xml:space="preserve">(hours) </w:t>
      </w:r>
      <w:r>
        <w:rPr>
          <w:color w:val="000000"/>
          <w:sz w:val="24"/>
          <w:szCs w:val="24"/>
        </w:rPr>
        <w:t>was equal between the categories of Gender. The result of Levene's test for Exercise</w:t>
      </w:r>
      <w:r w:rsidR="004930E0">
        <w:rPr>
          <w:color w:val="000000"/>
          <w:sz w:val="24"/>
          <w:szCs w:val="24"/>
        </w:rPr>
        <w:t xml:space="preserve">(hours) </w:t>
      </w:r>
      <w:r>
        <w:rPr>
          <w:color w:val="000000"/>
          <w:sz w:val="24"/>
          <w:szCs w:val="24"/>
        </w:rPr>
        <w:t>was not significant based on an al</w:t>
      </w:r>
      <w:r>
        <w:rPr>
          <w:color w:val="000000"/>
          <w:sz w:val="24"/>
          <w:szCs w:val="24"/>
        </w:rPr>
        <w:t xml:space="preserve">pha value of 0.05, </w:t>
      </w:r>
      <w:proofErr w:type="gramStart"/>
      <w:r>
        <w:rPr>
          <w:i/>
          <w:iCs/>
          <w:color w:val="000000"/>
          <w:sz w:val="24"/>
          <w:szCs w:val="24"/>
        </w:rPr>
        <w:t>F</w:t>
      </w:r>
      <w:r>
        <w:rPr>
          <w:color w:val="000000"/>
          <w:sz w:val="24"/>
          <w:szCs w:val="24"/>
        </w:rPr>
        <w:t>(</w:t>
      </w:r>
      <w:proofErr w:type="gramEnd"/>
      <w:r>
        <w:rPr>
          <w:color w:val="000000"/>
          <w:sz w:val="24"/>
          <w:szCs w:val="24"/>
        </w:rPr>
        <w:t xml:space="preserve">1, 54) = 0.14, </w:t>
      </w:r>
      <w:r>
        <w:rPr>
          <w:i/>
          <w:iCs/>
          <w:color w:val="000000"/>
          <w:sz w:val="24"/>
          <w:szCs w:val="24"/>
        </w:rPr>
        <w:t>p</w:t>
      </w:r>
      <w:r>
        <w:rPr>
          <w:color w:val="000000"/>
          <w:sz w:val="24"/>
          <w:szCs w:val="24"/>
        </w:rPr>
        <w:t xml:space="preserve"> = .709. This result suggests it is possible that the variance of Exercise</w:t>
      </w:r>
      <w:r w:rsidR="004930E0">
        <w:rPr>
          <w:color w:val="000000"/>
          <w:sz w:val="24"/>
          <w:szCs w:val="24"/>
        </w:rPr>
        <w:t xml:space="preserve">(hours) </w:t>
      </w:r>
      <w:r>
        <w:rPr>
          <w:color w:val="000000"/>
          <w:sz w:val="24"/>
          <w:szCs w:val="24"/>
        </w:rPr>
        <w:t>is equal for each category of Gender, indicating the assumption of homogeneity of variance was met.</w:t>
      </w:r>
    </w:p>
    <w:p w14:paraId="7A958358" w14:textId="77777777" w:rsidR="00FB7E12" w:rsidRDefault="00460B70">
      <w:pPr>
        <w:spacing w:before="240" w:after="120" w:line="400" w:lineRule="auto"/>
      </w:pPr>
      <w:r>
        <w:rPr>
          <w:b/>
          <w:bCs/>
          <w:i/>
          <w:iCs/>
          <w:color w:val="000000"/>
          <w:sz w:val="24"/>
          <w:szCs w:val="24"/>
        </w:rPr>
        <w:t>Results</w:t>
      </w:r>
    </w:p>
    <w:p w14:paraId="54DCB45D" w14:textId="3E6EDCFB" w:rsidR="00FB7E12" w:rsidRDefault="00460B70">
      <w:pPr>
        <w:spacing w:before="240" w:after="120" w:line="400" w:lineRule="auto"/>
        <w:ind w:firstLine="720"/>
      </w:pPr>
      <w:r>
        <w:rPr>
          <w:color w:val="000000"/>
          <w:sz w:val="24"/>
          <w:szCs w:val="24"/>
        </w:rPr>
        <w:t>The result of the two-tailed i</w:t>
      </w:r>
      <w:r>
        <w:rPr>
          <w:color w:val="000000"/>
          <w:sz w:val="24"/>
          <w:szCs w:val="24"/>
        </w:rPr>
        <w:t xml:space="preserve">ndependent samples </w:t>
      </w:r>
      <w:r>
        <w:rPr>
          <w:i/>
          <w:iCs/>
          <w:color w:val="000000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-test was significant based on an alpha value of 0.05, </w:t>
      </w:r>
      <w:r>
        <w:rPr>
          <w:i/>
          <w:iCs/>
          <w:color w:val="000000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(54) = -8.29, </w:t>
      </w:r>
      <w:r>
        <w:rPr>
          <w:i/>
          <w:iCs/>
          <w:color w:val="000000"/>
          <w:sz w:val="24"/>
          <w:szCs w:val="24"/>
        </w:rPr>
        <w:t>p</w:t>
      </w:r>
      <w:r>
        <w:rPr>
          <w:color w:val="000000"/>
          <w:sz w:val="24"/>
          <w:szCs w:val="24"/>
        </w:rPr>
        <w:t xml:space="preserve"> &lt; .001, indicating the null hypothesis can be rejected. This finding suggests the mean of Exercise</w:t>
      </w:r>
      <w:r w:rsidR="004930E0">
        <w:rPr>
          <w:color w:val="000000"/>
          <w:sz w:val="24"/>
          <w:szCs w:val="24"/>
        </w:rPr>
        <w:t xml:space="preserve">(hours) </w:t>
      </w:r>
      <w:r>
        <w:rPr>
          <w:color w:val="000000"/>
          <w:sz w:val="24"/>
          <w:szCs w:val="24"/>
        </w:rPr>
        <w:t xml:space="preserve">was significantly different between the Male and Female </w:t>
      </w:r>
      <w:r>
        <w:rPr>
          <w:color w:val="000000"/>
          <w:sz w:val="24"/>
          <w:szCs w:val="24"/>
        </w:rPr>
        <w:lastRenderedPageBreak/>
        <w:t>cat</w:t>
      </w:r>
      <w:r>
        <w:rPr>
          <w:color w:val="000000"/>
          <w:sz w:val="24"/>
          <w:szCs w:val="24"/>
        </w:rPr>
        <w:t>egories of Gender. The results are presented in Table 1. A bar plot of the means is presented in Figure 1.</w:t>
      </w:r>
    </w:p>
    <w:p w14:paraId="3200351E" w14:textId="77777777" w:rsidR="00FB7E12" w:rsidRDefault="00460B70">
      <w:pPr>
        <w:spacing w:after="120" w:line="400" w:lineRule="auto"/>
      </w:pPr>
      <w:r>
        <w:rPr>
          <w:b/>
          <w:bCs/>
          <w:color w:val="000000"/>
          <w:sz w:val="24"/>
          <w:szCs w:val="24"/>
        </w:rPr>
        <w:t>Table 1</w:t>
      </w:r>
    </w:p>
    <w:p w14:paraId="4D0297DD" w14:textId="3E205995" w:rsidR="00FB7E12" w:rsidRDefault="00460B70">
      <w:pPr>
        <w:spacing w:after="120" w:line="200" w:lineRule="auto"/>
      </w:pPr>
      <w:r>
        <w:rPr>
          <w:i/>
          <w:iCs/>
          <w:color w:val="000000"/>
          <w:sz w:val="24"/>
          <w:szCs w:val="24"/>
        </w:rPr>
        <w:t>Two-Tailed Independent Samples t-Test for Exercise</w:t>
      </w:r>
      <w:r w:rsidR="004930E0">
        <w:rPr>
          <w:i/>
          <w:iCs/>
          <w:color w:val="000000"/>
          <w:sz w:val="24"/>
          <w:szCs w:val="24"/>
        </w:rPr>
        <w:t xml:space="preserve">(hours) </w:t>
      </w:r>
      <w:r>
        <w:rPr>
          <w:i/>
          <w:iCs/>
          <w:color w:val="000000"/>
          <w:sz w:val="24"/>
          <w:szCs w:val="24"/>
        </w:rPr>
        <w:t>by Gender</w:t>
      </w:r>
    </w:p>
    <w:tbl>
      <w:tblPr>
        <w:tblStyle w:val="NormalTablePHPDOCX"/>
        <w:tblW w:w="5000" w:type="pct"/>
        <w:tblInd w:w="108" w:type="dxa"/>
        <w:tblLook w:val="04A0" w:firstRow="1" w:lastRow="0" w:firstColumn="1" w:lastColumn="0" w:noHBand="0" w:noVBand="1"/>
      </w:tblPr>
      <w:tblGrid>
        <w:gridCol w:w="2529"/>
        <w:gridCol w:w="948"/>
        <w:gridCol w:w="948"/>
        <w:gridCol w:w="948"/>
        <w:gridCol w:w="948"/>
        <w:gridCol w:w="1067"/>
        <w:gridCol w:w="1240"/>
        <w:gridCol w:w="948"/>
      </w:tblGrid>
      <w:tr w:rsidR="00FB7E12" w14:paraId="479039D5" w14:textId="77777777">
        <w:tc>
          <w:tcPr>
            <w:tcW w:w="0" w:type="auto"/>
            <w:tcBorders>
              <w:top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7788DC90" w14:textId="77777777" w:rsidR="00FB7E12" w:rsidRDefault="00460B70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58827400" w14:textId="77777777" w:rsidR="00FB7E12" w:rsidRDefault="00460B70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4"/>
                <w:szCs w:val="24"/>
              </w:rPr>
              <w:t>Male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1FA90F3A" w14:textId="77777777" w:rsidR="00FB7E12" w:rsidRDefault="00460B70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4"/>
                <w:szCs w:val="24"/>
              </w:rPr>
              <w:t>Female</w:t>
            </w:r>
          </w:p>
        </w:tc>
        <w:tc>
          <w:tcPr>
            <w:tcW w:w="0" w:type="auto"/>
            <w:tcBorders>
              <w:top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33B9D4C6" w14:textId="77777777" w:rsidR="00FB7E12" w:rsidRDefault="00460B70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7B248C50" w14:textId="77777777" w:rsidR="00FB7E12" w:rsidRDefault="00460B70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4427D7D7" w14:textId="77777777" w:rsidR="00FB7E12" w:rsidRDefault="00460B70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4"/>
                <w:szCs w:val="24"/>
              </w:rPr>
              <w:t> </w:t>
            </w:r>
          </w:p>
        </w:tc>
      </w:tr>
      <w:tr w:rsidR="00FB7E12" w14:paraId="37AE237F" w14:textId="77777777">
        <w:tc>
          <w:tcPr>
            <w:tcW w:w="0" w:type="auto"/>
            <w:tcBorders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03077B59" w14:textId="77777777" w:rsidR="00FB7E12" w:rsidRDefault="00460B70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4"/>
                <w:szCs w:val="24"/>
              </w:rPr>
              <w:t>Variable</w:t>
            </w:r>
          </w:p>
        </w:tc>
        <w:tc>
          <w:tcPr>
            <w:tcW w:w="0" w:type="auto"/>
            <w:tcBorders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5113A613" w14:textId="77777777" w:rsidR="00FB7E12" w:rsidRDefault="00460B70">
            <w:pPr>
              <w:spacing w:after="0" w:line="240" w:lineRule="auto"/>
              <w:jc w:val="center"/>
            </w:pPr>
            <w:r>
              <w:rPr>
                <w:i/>
                <w:iCs/>
                <w:color w:val="000000"/>
                <w:position w:val="-3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79D70F34" w14:textId="77777777" w:rsidR="00FB7E12" w:rsidRDefault="00460B70">
            <w:pPr>
              <w:spacing w:after="0" w:line="240" w:lineRule="auto"/>
              <w:jc w:val="center"/>
            </w:pPr>
            <w:r>
              <w:rPr>
                <w:i/>
                <w:iCs/>
                <w:color w:val="000000"/>
                <w:position w:val="-3"/>
                <w:sz w:val="24"/>
                <w:szCs w:val="24"/>
              </w:rPr>
              <w:t>SD</w:t>
            </w:r>
          </w:p>
        </w:tc>
        <w:tc>
          <w:tcPr>
            <w:tcW w:w="0" w:type="auto"/>
            <w:tcBorders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4A6F28BD" w14:textId="77777777" w:rsidR="00FB7E12" w:rsidRDefault="00460B70">
            <w:pPr>
              <w:spacing w:after="0" w:line="240" w:lineRule="auto"/>
              <w:jc w:val="center"/>
            </w:pPr>
            <w:r>
              <w:rPr>
                <w:i/>
                <w:iCs/>
                <w:color w:val="000000"/>
                <w:position w:val="-3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257AB566" w14:textId="77777777" w:rsidR="00FB7E12" w:rsidRDefault="00460B70">
            <w:pPr>
              <w:spacing w:after="0" w:line="240" w:lineRule="auto"/>
              <w:jc w:val="center"/>
            </w:pPr>
            <w:r>
              <w:rPr>
                <w:i/>
                <w:iCs/>
                <w:color w:val="000000"/>
                <w:position w:val="-3"/>
                <w:sz w:val="24"/>
                <w:szCs w:val="24"/>
              </w:rPr>
              <w:t>SD</w:t>
            </w:r>
          </w:p>
        </w:tc>
        <w:tc>
          <w:tcPr>
            <w:tcW w:w="0" w:type="auto"/>
            <w:tcBorders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6F8DE29E" w14:textId="77777777" w:rsidR="00FB7E12" w:rsidRDefault="00460B70">
            <w:pPr>
              <w:spacing w:after="0" w:line="240" w:lineRule="auto"/>
              <w:jc w:val="center"/>
            </w:pPr>
            <w:r>
              <w:rPr>
                <w:i/>
                <w:iCs/>
                <w:color w:val="000000"/>
                <w:position w:val="-3"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313BBC10" w14:textId="77777777" w:rsidR="00FB7E12" w:rsidRDefault="00460B70">
            <w:pPr>
              <w:spacing w:after="0" w:line="240" w:lineRule="auto"/>
              <w:jc w:val="center"/>
            </w:pPr>
            <w:r>
              <w:rPr>
                <w:i/>
                <w:iCs/>
                <w:color w:val="000000"/>
                <w:position w:val="-3"/>
                <w:sz w:val="24"/>
                <w:szCs w:val="24"/>
              </w:rPr>
              <w:t>p</w:t>
            </w:r>
          </w:p>
        </w:tc>
        <w:tc>
          <w:tcPr>
            <w:tcW w:w="0" w:type="auto"/>
            <w:tcBorders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5BAA849B" w14:textId="77777777" w:rsidR="00FB7E12" w:rsidRDefault="00460B70">
            <w:pPr>
              <w:spacing w:after="0" w:line="240" w:lineRule="auto"/>
              <w:jc w:val="center"/>
            </w:pPr>
            <w:r>
              <w:rPr>
                <w:i/>
                <w:iCs/>
                <w:color w:val="000000"/>
                <w:position w:val="-3"/>
                <w:sz w:val="24"/>
                <w:szCs w:val="24"/>
              </w:rPr>
              <w:t>d</w:t>
            </w:r>
          </w:p>
        </w:tc>
      </w:tr>
      <w:tr w:rsidR="00FB7E12" w14:paraId="3F737FC2" w14:textId="77777777">
        <w:tc>
          <w:tcPr>
            <w:tcW w:w="0" w:type="auto"/>
            <w:tcBorders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2E949C46" w14:textId="77777777" w:rsidR="00FB7E12" w:rsidRDefault="00460B70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4"/>
                <w:szCs w:val="24"/>
              </w:rPr>
              <w:t>Exercise_hours</w:t>
            </w:r>
          </w:p>
        </w:tc>
        <w:tc>
          <w:tcPr>
            <w:tcW w:w="0" w:type="auto"/>
            <w:tcBorders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163BFACE" w14:textId="77777777" w:rsidR="00FB7E12" w:rsidRDefault="00460B70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4"/>
                <w:szCs w:val="24"/>
              </w:rPr>
              <w:t>1.84</w:t>
            </w:r>
          </w:p>
        </w:tc>
        <w:tc>
          <w:tcPr>
            <w:tcW w:w="0" w:type="auto"/>
            <w:tcBorders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16116E5B" w14:textId="77777777" w:rsidR="00FB7E12" w:rsidRDefault="00460B70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4"/>
                <w:szCs w:val="24"/>
              </w:rPr>
              <w:t>0.59</w:t>
            </w:r>
          </w:p>
        </w:tc>
        <w:tc>
          <w:tcPr>
            <w:tcW w:w="0" w:type="auto"/>
            <w:tcBorders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35C35168" w14:textId="77777777" w:rsidR="00FB7E12" w:rsidRDefault="00460B70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4"/>
                <w:szCs w:val="24"/>
              </w:rPr>
              <w:t>3.20</w:t>
            </w:r>
          </w:p>
        </w:tc>
        <w:tc>
          <w:tcPr>
            <w:tcW w:w="0" w:type="auto"/>
            <w:tcBorders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2116CD0A" w14:textId="77777777" w:rsidR="00FB7E12" w:rsidRDefault="00460B70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4"/>
                <w:szCs w:val="24"/>
              </w:rPr>
              <w:t>0.64</w:t>
            </w:r>
          </w:p>
        </w:tc>
        <w:tc>
          <w:tcPr>
            <w:tcW w:w="0" w:type="auto"/>
            <w:tcBorders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02C4AC56" w14:textId="77777777" w:rsidR="00FB7E12" w:rsidRDefault="00460B70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4"/>
                <w:szCs w:val="24"/>
              </w:rPr>
              <w:t>-8.29</w:t>
            </w:r>
          </w:p>
        </w:tc>
        <w:tc>
          <w:tcPr>
            <w:tcW w:w="0" w:type="auto"/>
            <w:tcBorders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4E141F75" w14:textId="77777777" w:rsidR="00FB7E12" w:rsidRDefault="00460B70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4"/>
                <w:szCs w:val="24"/>
              </w:rPr>
              <w:t>&lt; .001</w:t>
            </w:r>
          </w:p>
        </w:tc>
        <w:tc>
          <w:tcPr>
            <w:tcW w:w="0" w:type="auto"/>
            <w:tcBorders>
              <w:bottom w:val="single" w:sz="5" w:space="0" w:color="000000"/>
            </w:tcBorders>
            <w:tcMar>
              <w:top w:w="30" w:type="dxa"/>
              <w:bottom w:w="30" w:type="dxa"/>
            </w:tcMar>
            <w:vAlign w:val="center"/>
          </w:tcPr>
          <w:p w14:paraId="75079888" w14:textId="77777777" w:rsidR="00FB7E12" w:rsidRDefault="00460B70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4"/>
                <w:szCs w:val="24"/>
              </w:rPr>
              <w:t>2.22</w:t>
            </w:r>
          </w:p>
        </w:tc>
      </w:tr>
    </w:tbl>
    <w:p w14:paraId="4CF9141C" w14:textId="77777777" w:rsidR="00FB7E12" w:rsidRDefault="00460B70">
      <w:pPr>
        <w:spacing w:after="240" w:line="200" w:lineRule="auto"/>
      </w:pPr>
      <w:r>
        <w:rPr>
          <w:i/>
          <w:iCs/>
          <w:color w:val="000000"/>
          <w:sz w:val="24"/>
          <w:szCs w:val="24"/>
        </w:rPr>
        <w:t>Note.</w:t>
      </w:r>
      <w:r>
        <w:rPr>
          <w:color w:val="000000"/>
          <w:sz w:val="24"/>
          <w:szCs w:val="24"/>
        </w:rPr>
        <w:t xml:space="preserve"> N = 56. Degrees of Freedom for the </w:t>
      </w:r>
      <w:r>
        <w:rPr>
          <w:i/>
          <w:iCs/>
          <w:color w:val="000000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-statistic = 54. </w:t>
      </w:r>
      <w:r>
        <w:rPr>
          <w:i/>
          <w:iCs/>
          <w:color w:val="000000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represents Cohen's </w:t>
      </w:r>
      <w:r>
        <w:rPr>
          <w:i/>
          <w:iCs/>
          <w:color w:val="000000"/>
          <w:sz w:val="24"/>
          <w:szCs w:val="24"/>
        </w:rPr>
        <w:t>d.</w:t>
      </w:r>
    </w:p>
    <w:p w14:paraId="0A855FD3" w14:textId="77777777" w:rsidR="00FB7E12" w:rsidRDefault="00460B70">
      <w:pPr>
        <w:spacing w:before="240" w:after="120" w:line="200" w:lineRule="auto"/>
      </w:pPr>
      <w:r>
        <w:rPr>
          <w:b/>
          <w:bCs/>
          <w:color w:val="000000"/>
          <w:sz w:val="24"/>
          <w:szCs w:val="24"/>
        </w:rPr>
        <w:t>Figure 1</w:t>
      </w:r>
    </w:p>
    <w:p w14:paraId="39B9D97A" w14:textId="2AB9D567" w:rsidR="00FB7E12" w:rsidRDefault="00460B70">
      <w:pPr>
        <w:spacing w:before="240" w:after="120" w:line="400" w:lineRule="auto"/>
      </w:pPr>
      <w:r>
        <w:rPr>
          <w:i/>
          <w:iCs/>
          <w:color w:val="000000"/>
          <w:sz w:val="24"/>
          <w:szCs w:val="24"/>
        </w:rPr>
        <w:t>The mean of Exercise</w:t>
      </w:r>
      <w:r w:rsidR="004930E0">
        <w:rPr>
          <w:i/>
          <w:iCs/>
          <w:color w:val="000000"/>
          <w:sz w:val="24"/>
          <w:szCs w:val="24"/>
        </w:rPr>
        <w:t>(hours)</w:t>
      </w:r>
      <w:r>
        <w:rPr>
          <w:i/>
          <w:iCs/>
          <w:color w:val="000000"/>
          <w:sz w:val="24"/>
          <w:szCs w:val="24"/>
        </w:rPr>
        <w:t>by levels of Gender</w:t>
      </w:r>
    </w:p>
    <w:p w14:paraId="29D8DD29" w14:textId="77777777" w:rsidR="00FB7E12" w:rsidRDefault="00460B70">
      <w:r>
        <w:rPr>
          <w:noProof/>
        </w:rPr>
        <w:drawing>
          <wp:inline distT="0" distB="0" distL="0" distR="0" wp14:anchorId="16E5533C" wp14:editId="76B6EFA6">
            <wp:extent cx="3657600" cy="3657600"/>
            <wp:effectExtent l="0" t="0" r="0" b="0"/>
            <wp:docPr id="57797585" name="name55215fd8b510cc084" descr="base64encoded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se64encodedimag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7FA93E70" w14:textId="77777777" w:rsidR="00FB7E12" w:rsidRDefault="00460B70">
      <w:pPr>
        <w:spacing w:before="161" w:after="161" w:line="240" w:lineRule="auto"/>
        <w:jc w:val="center"/>
        <w:outlineLvl w:val="0"/>
      </w:pPr>
      <w:r>
        <w:rPr>
          <w:b/>
          <w:bCs/>
          <w:color w:val="000000"/>
          <w:sz w:val="24"/>
          <w:szCs w:val="24"/>
        </w:rPr>
        <w:t>References</w:t>
      </w:r>
    </w:p>
    <w:p w14:paraId="1ACD5902" w14:textId="77777777" w:rsidR="00FB7E12" w:rsidRDefault="00460B70">
      <w:pPr>
        <w:spacing w:before="240" w:after="240" w:line="400" w:lineRule="auto"/>
        <w:ind w:left="360" w:hanging="360"/>
      </w:pPr>
      <w:r>
        <w:rPr>
          <w:color w:val="000000"/>
          <w:sz w:val="24"/>
          <w:szCs w:val="24"/>
        </w:rPr>
        <w:t>Intellectus Statistics [Online computer software]. (2020). Intellectus Statistics. https://analyze.intellectusstatistics.com/</w:t>
      </w:r>
    </w:p>
    <w:p w14:paraId="52DC6131" w14:textId="77777777" w:rsidR="00FB7E12" w:rsidRDefault="00460B70">
      <w:pPr>
        <w:spacing w:before="240" w:after="240" w:line="400" w:lineRule="auto"/>
        <w:ind w:left="360" w:hanging="360"/>
      </w:pPr>
      <w:r>
        <w:rPr>
          <w:color w:val="000000"/>
          <w:sz w:val="24"/>
          <w:szCs w:val="24"/>
        </w:rPr>
        <w:t xml:space="preserve">Razali, N. M., &amp; Wah, Y. B. (2011). Power comparisons of Shapiro-Wilk, Kolmogorov-Smirnov, Lilliefors and Anderson-Darling tests. </w:t>
      </w:r>
      <w:r>
        <w:rPr>
          <w:i/>
          <w:iCs/>
          <w:color w:val="000000"/>
          <w:sz w:val="24"/>
          <w:szCs w:val="24"/>
        </w:rPr>
        <w:t>Journal of Statistical Modeling and Analytics, 2</w:t>
      </w:r>
      <w:r>
        <w:rPr>
          <w:color w:val="000000"/>
          <w:sz w:val="24"/>
          <w:szCs w:val="24"/>
        </w:rPr>
        <w:t>(1), 21-33.</w:t>
      </w:r>
    </w:p>
    <w:p w14:paraId="6B8968DE" w14:textId="77777777" w:rsidR="00FB7E12" w:rsidRDefault="00460B70">
      <w:pPr>
        <w:spacing w:before="161" w:after="161" w:line="240" w:lineRule="auto"/>
        <w:jc w:val="center"/>
        <w:outlineLvl w:val="0"/>
      </w:pPr>
      <w:r>
        <w:rPr>
          <w:b/>
          <w:bCs/>
          <w:color w:val="000000"/>
          <w:sz w:val="24"/>
          <w:szCs w:val="24"/>
        </w:rPr>
        <w:lastRenderedPageBreak/>
        <w:t>Glossaries</w:t>
      </w:r>
    </w:p>
    <w:p w14:paraId="11890536" w14:textId="77777777" w:rsidR="00FB7E12" w:rsidRDefault="00460B70">
      <w:pPr>
        <w:spacing w:before="240" w:after="240" w:line="20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Independent Samples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-Test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The independent samples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-test is used to determine if there is a significant difference between two groups (e.g., men vs. women) on a scale-level dependent variable. This test uses the difference between the average scores of the two groups to compute the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statistic, which is 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 with the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compute the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-value (i.e., significance level). A significant result indicates the observed test statistic would be unlikely under the null hypothesis. The independent samples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-test carries the assumptions of independence of observations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normality, and equality (or homogeneity) of variance.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br/>
        <w:t>Fun Fact!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William Sealy Gosset, who published a paper about the t distribution in 1908, worked for the Guinness Brewery in Dublin, Ireland.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 xml:space="preserve">Cohen's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Effect size for the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-test; determines the stre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ngth of the differences between the matched scores. The larger the effect size, the greater the differences in the matched scores.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Degrees of Freedom 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Refers to the number of values used to compute a statistic. The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determined by the number of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bservations in the sample and equal the number of observations - 1; used with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compute the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-value.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Levene's Test: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Test to assess if the assumption of equality of variance is met; if significance is found, the groups differ in their spread of the depe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ndent variable scores; this may differ from the output found from other statistical packages (such as SPSS), as Intellectus Statistics™ uses the median instead of the mean for calculations; the median tends to provide a more-robust choice that can account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 non-normality.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Mean 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average value of a scale-level variable.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Normality: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Refers to the distribution of the data. The assumption is that the data follows the bell-shaped curve.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br/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-value: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probability of obtaining the observed results if 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null hypothesis is true. A result is usually considered statistically significant if the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-value is ≤ .05.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Shapiro-Wilk Test: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test to assess if the assumption of normality is met. If statistical significance is found in this test, the data is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norma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lly distributed.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Standard Deviation 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SD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spread of the data around the mean of a scale-level variable.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br/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-Test Statistic 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Used with the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determine the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value.</w:t>
      </w:r>
    </w:p>
    <w:sectPr w:rsidR="00FB7E12" w:rsidSect="004930E0">
      <w:pgSz w:w="12240" w:h="15840" w:code="1"/>
      <w:pgMar w:top="900" w:right="1440" w:bottom="9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0C2147" w14:textId="77777777" w:rsidR="00460B70" w:rsidRDefault="00460B70" w:rsidP="006E0FDA">
      <w:pPr>
        <w:spacing w:after="0" w:line="240" w:lineRule="auto"/>
      </w:pPr>
      <w:r>
        <w:separator/>
      </w:r>
    </w:p>
  </w:endnote>
  <w:endnote w:type="continuationSeparator" w:id="0">
    <w:p w14:paraId="1545CF2A" w14:textId="77777777" w:rsidR="00460B70" w:rsidRDefault="00460B70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A85D84" w14:textId="77777777" w:rsidR="00460B70" w:rsidRDefault="00460B70" w:rsidP="006E0FDA">
      <w:pPr>
        <w:spacing w:after="0" w:line="240" w:lineRule="auto"/>
      </w:pPr>
      <w:r>
        <w:separator/>
      </w:r>
    </w:p>
  </w:footnote>
  <w:footnote w:type="continuationSeparator" w:id="0">
    <w:p w14:paraId="174F6245" w14:textId="77777777" w:rsidR="00460B70" w:rsidRDefault="00460B70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A5E46"/>
    <w:multiLevelType w:val="hybridMultilevel"/>
    <w:tmpl w:val="CB946AD2"/>
    <w:lvl w:ilvl="0" w:tplc="96703992">
      <w:start w:val="1"/>
      <w:numFmt w:val="decimal"/>
      <w:lvlText w:val="%1."/>
      <w:lvlJc w:val="left"/>
      <w:pPr>
        <w:ind w:left="720" w:hanging="360"/>
      </w:pPr>
    </w:lvl>
    <w:lvl w:ilvl="1" w:tplc="96703992" w:tentative="1">
      <w:start w:val="1"/>
      <w:numFmt w:val="lowerLetter"/>
      <w:lvlText w:val="%2."/>
      <w:lvlJc w:val="left"/>
      <w:pPr>
        <w:ind w:left="1440" w:hanging="360"/>
      </w:pPr>
    </w:lvl>
    <w:lvl w:ilvl="2" w:tplc="96703992" w:tentative="1">
      <w:start w:val="1"/>
      <w:numFmt w:val="lowerRoman"/>
      <w:lvlText w:val="%3."/>
      <w:lvlJc w:val="right"/>
      <w:pPr>
        <w:ind w:left="2160" w:hanging="180"/>
      </w:pPr>
    </w:lvl>
    <w:lvl w:ilvl="3" w:tplc="96703992" w:tentative="1">
      <w:start w:val="1"/>
      <w:numFmt w:val="decimal"/>
      <w:lvlText w:val="%4."/>
      <w:lvlJc w:val="left"/>
      <w:pPr>
        <w:ind w:left="2880" w:hanging="360"/>
      </w:pPr>
    </w:lvl>
    <w:lvl w:ilvl="4" w:tplc="96703992" w:tentative="1">
      <w:start w:val="1"/>
      <w:numFmt w:val="lowerLetter"/>
      <w:lvlText w:val="%5."/>
      <w:lvlJc w:val="left"/>
      <w:pPr>
        <w:ind w:left="3600" w:hanging="360"/>
      </w:pPr>
    </w:lvl>
    <w:lvl w:ilvl="5" w:tplc="96703992" w:tentative="1">
      <w:start w:val="1"/>
      <w:numFmt w:val="lowerRoman"/>
      <w:lvlText w:val="%6."/>
      <w:lvlJc w:val="right"/>
      <w:pPr>
        <w:ind w:left="4320" w:hanging="180"/>
      </w:pPr>
    </w:lvl>
    <w:lvl w:ilvl="6" w:tplc="96703992" w:tentative="1">
      <w:start w:val="1"/>
      <w:numFmt w:val="decimal"/>
      <w:lvlText w:val="%7."/>
      <w:lvlJc w:val="left"/>
      <w:pPr>
        <w:ind w:left="5040" w:hanging="360"/>
      </w:pPr>
    </w:lvl>
    <w:lvl w:ilvl="7" w:tplc="96703992" w:tentative="1">
      <w:start w:val="1"/>
      <w:numFmt w:val="lowerLetter"/>
      <w:lvlText w:val="%8."/>
      <w:lvlJc w:val="left"/>
      <w:pPr>
        <w:ind w:left="5760" w:hanging="360"/>
      </w:pPr>
    </w:lvl>
    <w:lvl w:ilvl="8" w:tplc="967039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2CB5EFE"/>
    <w:multiLevelType w:val="hybridMultilevel"/>
    <w:tmpl w:val="E8C08FAC"/>
    <w:lvl w:ilvl="0" w:tplc="2953548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64E"/>
    <w:rsid w:val="00065F9C"/>
    <w:rsid w:val="000F6147"/>
    <w:rsid w:val="00112029"/>
    <w:rsid w:val="00135412"/>
    <w:rsid w:val="001D6A37"/>
    <w:rsid w:val="00361FF4"/>
    <w:rsid w:val="003B5299"/>
    <w:rsid w:val="00460B70"/>
    <w:rsid w:val="004930E0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E14466"/>
    <w:rsid w:val="00FB45FF"/>
    <w:rsid w:val="00FB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D9B69"/>
  <w15:docId w15:val="{F71EA07C-58F4-4BEC-ABC0-910FE44F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 </cp:lastModifiedBy>
  <cp:revision>4</cp:revision>
  <dcterms:created xsi:type="dcterms:W3CDTF">2020-12-15T13:16:00Z</dcterms:created>
  <dcterms:modified xsi:type="dcterms:W3CDTF">2020-12-15T13:17:00Z</dcterms:modified>
</cp:coreProperties>
</file>